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3ECD2" w14:textId="75E0D147" w:rsidR="007910FE" w:rsidRPr="001C31E9" w:rsidRDefault="00DE5596" w:rsidP="00516368">
      <w:pPr>
        <w:pStyle w:val="Nadpis1"/>
        <w:jc w:val="center"/>
        <w:rPr>
          <w:rFonts w:ascii="Calibri" w:hAnsi="Calibri" w:cs="Calibri"/>
          <w:sz w:val="40"/>
          <w:szCs w:val="40"/>
        </w:rPr>
      </w:pPr>
      <w:r w:rsidRPr="001C31E9">
        <w:rPr>
          <w:rFonts w:ascii="Calibri" w:hAnsi="Calibri" w:cs="Calibri"/>
          <w:sz w:val="40"/>
          <w:szCs w:val="40"/>
        </w:rPr>
        <w:t xml:space="preserve">PODMÍNKY ÚČASTI </w:t>
      </w:r>
      <w:r w:rsidRPr="001C31E9">
        <w:rPr>
          <w:rFonts w:ascii="Calibri" w:hAnsi="Calibri" w:cs="Calibri"/>
          <w:sz w:val="40"/>
          <w:szCs w:val="40"/>
        </w:rPr>
        <w:br/>
        <w:t>v zájmovém vzdělávání DDM</w:t>
      </w:r>
    </w:p>
    <w:p w14:paraId="54A39562" w14:textId="62C5FA0F" w:rsidR="001C31E9" w:rsidRPr="001C31E9" w:rsidRDefault="001C31E9" w:rsidP="001C31E9">
      <w:pPr>
        <w:pStyle w:val="Zkladntext"/>
        <w:jc w:val="center"/>
        <w:rPr>
          <w:rFonts w:ascii="Calibri" w:hAnsi="Calibri" w:cs="Calibri"/>
          <w:sz w:val="20"/>
          <w:szCs w:val="20"/>
        </w:rPr>
      </w:pPr>
      <w:r w:rsidRPr="001C31E9">
        <w:rPr>
          <w:rFonts w:ascii="Calibri" w:hAnsi="Calibri" w:cs="Calibri"/>
          <w:sz w:val="20"/>
          <w:szCs w:val="20"/>
        </w:rPr>
        <w:t>Dům dětí a mládeže Choceň, Paraple 1624, 565 01 Choceň, IČ: 720 87 838</w:t>
      </w:r>
    </w:p>
    <w:p w14:paraId="64FA2230" w14:textId="77777777" w:rsidR="007910FE" w:rsidRPr="00DE5596" w:rsidRDefault="00000000">
      <w:pPr>
        <w:pStyle w:val="Nadpis2"/>
        <w:rPr>
          <w:rFonts w:ascii="Calibri" w:hAnsi="Calibri" w:cs="Calibri"/>
          <w:sz w:val="24"/>
          <w:szCs w:val="24"/>
        </w:rPr>
      </w:pPr>
      <w:r w:rsidRPr="00DE5596">
        <w:rPr>
          <w:rFonts w:ascii="Calibri" w:hAnsi="Calibri" w:cs="Calibri"/>
          <w:sz w:val="24"/>
          <w:szCs w:val="24"/>
        </w:rPr>
        <w:t>1. Úvodní ustanovení</w:t>
      </w:r>
    </w:p>
    <w:p w14:paraId="6AFE802C" w14:textId="0B02125B" w:rsidR="007910FE" w:rsidRPr="00DE5596" w:rsidRDefault="00000000">
      <w:pPr>
        <w:pStyle w:val="Zkladntext"/>
        <w:numPr>
          <w:ilvl w:val="0"/>
          <w:numId w:val="1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>Tento dokument upravuje podmínky přihlašování, úhrady úplaty, odhlašování a vracení úplaty v rámci zájmového vzdělávání poskytovaného D</w:t>
      </w:r>
      <w:r w:rsidR="001C31E9">
        <w:rPr>
          <w:rFonts w:ascii="Calibri" w:hAnsi="Calibri" w:cs="Calibri"/>
        </w:rPr>
        <w:t>omem dětí a mládeže Choceň (dále jen „DDM“)</w:t>
      </w:r>
      <w:r w:rsidRPr="00DE5596">
        <w:rPr>
          <w:rFonts w:ascii="Calibri" w:hAnsi="Calibri" w:cs="Calibri"/>
        </w:rPr>
        <w:t xml:space="preserve">. </w:t>
      </w:r>
    </w:p>
    <w:p w14:paraId="4088180A" w14:textId="77777777" w:rsidR="007910FE" w:rsidRPr="00DE5596" w:rsidRDefault="00000000">
      <w:pPr>
        <w:pStyle w:val="Zkladntext"/>
        <w:numPr>
          <w:ilvl w:val="0"/>
          <w:numId w:val="1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Tento dokument se vztahuje zejména na: </w:t>
      </w:r>
    </w:p>
    <w:p w14:paraId="400EFB71" w14:textId="77777777" w:rsidR="007910FE" w:rsidRPr="00DE5596" w:rsidRDefault="00000000">
      <w:pPr>
        <w:pStyle w:val="Zkladntext"/>
        <w:numPr>
          <w:ilvl w:val="1"/>
          <w:numId w:val="1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pravidelnou zájmovou činnost (kroužky), </w:t>
      </w:r>
    </w:p>
    <w:p w14:paraId="19D106A7" w14:textId="77777777" w:rsidR="007910FE" w:rsidRPr="00DE5596" w:rsidRDefault="00000000">
      <w:pPr>
        <w:pStyle w:val="Zkladntext"/>
        <w:numPr>
          <w:ilvl w:val="1"/>
          <w:numId w:val="1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tábory a obdobné pobytové akce, </w:t>
      </w:r>
    </w:p>
    <w:p w14:paraId="02F8FE07" w14:textId="77777777" w:rsidR="007910FE" w:rsidRPr="00DE5596" w:rsidRDefault="00000000">
      <w:pPr>
        <w:pStyle w:val="Zkladntext"/>
        <w:numPr>
          <w:ilvl w:val="1"/>
          <w:numId w:val="1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příměstské tábory, </w:t>
      </w:r>
    </w:p>
    <w:p w14:paraId="2535FF5A" w14:textId="77777777" w:rsidR="007910FE" w:rsidRPr="00DE5596" w:rsidRDefault="00000000">
      <w:pPr>
        <w:pStyle w:val="Zkladntext"/>
        <w:numPr>
          <w:ilvl w:val="1"/>
          <w:numId w:val="1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jednorázové a příležitostné akce, </w:t>
      </w:r>
    </w:p>
    <w:p w14:paraId="2391EB01" w14:textId="77777777" w:rsidR="007910FE" w:rsidRPr="00DE5596" w:rsidRDefault="00000000">
      <w:pPr>
        <w:pStyle w:val="Zkladntext"/>
        <w:numPr>
          <w:ilvl w:val="1"/>
          <w:numId w:val="1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kurzy a další formy zájmového vzdělávání. </w:t>
      </w:r>
    </w:p>
    <w:p w14:paraId="2FF13E89" w14:textId="77777777" w:rsidR="007910FE" w:rsidRPr="00DE5596" w:rsidRDefault="00000000">
      <w:pPr>
        <w:pStyle w:val="Zkladntext"/>
        <w:numPr>
          <w:ilvl w:val="0"/>
          <w:numId w:val="1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Není-li u konkrétní aktivity uvedeno jinak, použijí se tyto podmínky přiměřeně. </w:t>
      </w:r>
    </w:p>
    <w:p w14:paraId="54F8D7F3" w14:textId="77777777" w:rsidR="007910FE" w:rsidRPr="00DE5596" w:rsidRDefault="00000000">
      <w:pPr>
        <w:pStyle w:val="Zkladntext"/>
        <w:numPr>
          <w:ilvl w:val="0"/>
          <w:numId w:val="1"/>
        </w:numPr>
        <w:tabs>
          <w:tab w:val="left" w:pos="709"/>
        </w:tabs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Konkrétní informace o termínech, kapacitě, ceně, místu konání a případných zvláštních podmínkách jsou vždy uvedeny u příslušné aktivity. </w:t>
      </w:r>
    </w:p>
    <w:p w14:paraId="6981585F" w14:textId="77777777" w:rsidR="007910FE" w:rsidRPr="00DE5596" w:rsidRDefault="00000000">
      <w:pPr>
        <w:pStyle w:val="Nadpis2"/>
        <w:rPr>
          <w:rFonts w:ascii="Calibri" w:hAnsi="Calibri" w:cs="Calibri"/>
          <w:sz w:val="24"/>
          <w:szCs w:val="24"/>
        </w:rPr>
      </w:pPr>
      <w:r w:rsidRPr="00DE5596">
        <w:rPr>
          <w:rFonts w:ascii="Calibri" w:hAnsi="Calibri" w:cs="Calibri"/>
          <w:sz w:val="24"/>
          <w:szCs w:val="24"/>
        </w:rPr>
        <w:t>2. Přihlašování</w:t>
      </w:r>
    </w:p>
    <w:p w14:paraId="22281F36" w14:textId="77777777" w:rsidR="007910FE" w:rsidRPr="00DE5596" w:rsidRDefault="00000000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Přihlášení probíhá zpravidla elektronicky prostřednictvím klientského systému DDM nebo jiným způsobem určeným DDM. </w:t>
      </w:r>
    </w:p>
    <w:p w14:paraId="78422744" w14:textId="77777777" w:rsidR="007910FE" w:rsidRPr="00DE5596" w:rsidRDefault="00000000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U nezletilého účastníka podává přihlášku jeho zákonný zástupce. </w:t>
      </w:r>
    </w:p>
    <w:p w14:paraId="1CE954F1" w14:textId="77777777" w:rsidR="007910FE" w:rsidRPr="00DE5596" w:rsidRDefault="00000000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Odesláním přihlášky zákonný zástupce nebo zletilý účastník potvrzuje, že se seznámil s těmito podmínkami a s vnitřním řádem DDM. </w:t>
      </w:r>
    </w:p>
    <w:p w14:paraId="3E6C5121" w14:textId="77777777" w:rsidR="007910FE" w:rsidRPr="00DE5596" w:rsidRDefault="00000000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Přihláška se považuje za přijatou okamžikem potvrzení ze strany DDM nebo zařazením účastníka do aktivity v klientském systému. </w:t>
      </w:r>
    </w:p>
    <w:p w14:paraId="5C7145F0" w14:textId="77777777" w:rsidR="007910FE" w:rsidRPr="00DE5596" w:rsidRDefault="00000000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O přijetí rozhoduje zejména: </w:t>
      </w:r>
    </w:p>
    <w:p w14:paraId="0094F80F" w14:textId="77777777" w:rsidR="007910FE" w:rsidRPr="00DE5596" w:rsidRDefault="00000000">
      <w:pPr>
        <w:pStyle w:val="Zkladntext"/>
        <w:numPr>
          <w:ilvl w:val="1"/>
          <w:numId w:val="2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splnění věkových nebo jiných předem zveřejněných podmínek, </w:t>
      </w:r>
    </w:p>
    <w:p w14:paraId="6DFD1231" w14:textId="77777777" w:rsidR="007910FE" w:rsidRPr="00DE5596" w:rsidRDefault="00000000">
      <w:pPr>
        <w:pStyle w:val="Zkladntext"/>
        <w:numPr>
          <w:ilvl w:val="1"/>
          <w:numId w:val="2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kapacita aktivity, </w:t>
      </w:r>
    </w:p>
    <w:p w14:paraId="20AFCB3A" w14:textId="77777777" w:rsidR="007910FE" w:rsidRPr="00DE5596" w:rsidRDefault="00000000">
      <w:pPr>
        <w:pStyle w:val="Zkladntext"/>
        <w:numPr>
          <w:ilvl w:val="1"/>
          <w:numId w:val="2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pořadí řádně podaných přihlášek, </w:t>
      </w:r>
    </w:p>
    <w:p w14:paraId="131444F8" w14:textId="77777777" w:rsidR="007910FE" w:rsidRPr="00DE5596" w:rsidRDefault="00000000">
      <w:pPr>
        <w:pStyle w:val="Zkladntext"/>
        <w:numPr>
          <w:ilvl w:val="1"/>
          <w:numId w:val="2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případně další předem zveřejněná kritéria u konkrétní aktivity. </w:t>
      </w:r>
    </w:p>
    <w:p w14:paraId="0BA689DB" w14:textId="77777777" w:rsidR="007910FE" w:rsidRPr="00DE5596" w:rsidRDefault="00000000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Pokud DDM vyhlásí přednostní zápis pro stávající účastníky, musí být tato skutečnost i pravidla předem zveřejněny. </w:t>
      </w:r>
    </w:p>
    <w:p w14:paraId="0F034D09" w14:textId="77777777" w:rsidR="007910FE" w:rsidRPr="00DE5596" w:rsidRDefault="00000000">
      <w:pPr>
        <w:pStyle w:val="Zkladntext"/>
        <w:numPr>
          <w:ilvl w:val="0"/>
          <w:numId w:val="2"/>
        </w:numPr>
        <w:tabs>
          <w:tab w:val="left" w:pos="709"/>
        </w:tabs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DDM je oprávněn nepřijmout účastníka do aktivity, pokud nesplňuje její podmínky nebo byla naplněna kapacita. </w:t>
      </w:r>
    </w:p>
    <w:p w14:paraId="0CAF07C6" w14:textId="77777777" w:rsidR="007910FE" w:rsidRPr="00DE5596" w:rsidRDefault="00000000">
      <w:pPr>
        <w:pStyle w:val="Nadpis2"/>
        <w:rPr>
          <w:rFonts w:ascii="Calibri" w:hAnsi="Calibri" w:cs="Calibri"/>
          <w:sz w:val="24"/>
          <w:szCs w:val="24"/>
        </w:rPr>
      </w:pPr>
      <w:r w:rsidRPr="00DE5596">
        <w:rPr>
          <w:rFonts w:ascii="Calibri" w:hAnsi="Calibri" w:cs="Calibri"/>
          <w:sz w:val="24"/>
          <w:szCs w:val="24"/>
        </w:rPr>
        <w:t>3. Úplata</w:t>
      </w:r>
    </w:p>
    <w:p w14:paraId="31C9DE91" w14:textId="77777777" w:rsidR="007910FE" w:rsidRPr="00DE5596" w:rsidRDefault="00000000">
      <w:pPr>
        <w:pStyle w:val="Zkladntext"/>
        <w:numPr>
          <w:ilvl w:val="0"/>
          <w:numId w:val="3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Zájmové vzdělávání je zpravidla poskytováno za úplatu. </w:t>
      </w:r>
    </w:p>
    <w:p w14:paraId="286C3DE3" w14:textId="77777777" w:rsidR="007910FE" w:rsidRPr="00DE5596" w:rsidRDefault="00000000">
      <w:pPr>
        <w:pStyle w:val="Zkladntext"/>
        <w:numPr>
          <w:ilvl w:val="0"/>
          <w:numId w:val="3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Výše úplaty je stanovena pro jednotlivé aktivity samostatně. </w:t>
      </w:r>
    </w:p>
    <w:p w14:paraId="5B8F05CE" w14:textId="77777777" w:rsidR="007910FE" w:rsidRPr="00DE5596" w:rsidRDefault="00000000">
      <w:pPr>
        <w:pStyle w:val="Zkladntext"/>
        <w:numPr>
          <w:ilvl w:val="0"/>
          <w:numId w:val="3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Úplata je splatná ve lhůtě uvedené v platebních údajích nebo v klientském systému. </w:t>
      </w:r>
    </w:p>
    <w:p w14:paraId="18DE8F99" w14:textId="77777777" w:rsidR="007910FE" w:rsidRPr="00DE5596" w:rsidRDefault="00000000">
      <w:pPr>
        <w:pStyle w:val="Zkladntext"/>
        <w:numPr>
          <w:ilvl w:val="0"/>
          <w:numId w:val="3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lastRenderedPageBreak/>
        <w:t xml:space="preserve">DDM může stanovit úhradu jednorázově nebo ve splátkách. </w:t>
      </w:r>
    </w:p>
    <w:p w14:paraId="2D37994E" w14:textId="77777777" w:rsidR="007910FE" w:rsidRPr="00DE5596" w:rsidRDefault="00000000">
      <w:pPr>
        <w:pStyle w:val="Zkladntext"/>
        <w:numPr>
          <w:ilvl w:val="0"/>
          <w:numId w:val="3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Platba se provádí bezhotovostně; výjimečně lze po předchozí dohodě umožnit jiný způsob úhrady. </w:t>
      </w:r>
    </w:p>
    <w:p w14:paraId="49010C11" w14:textId="77777777" w:rsidR="007910FE" w:rsidRPr="00DE5596" w:rsidRDefault="00000000">
      <w:pPr>
        <w:pStyle w:val="Zkladntext"/>
        <w:numPr>
          <w:ilvl w:val="0"/>
          <w:numId w:val="3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Účastník je povinen při platbě uvést správné identifikační údaje platby stanovené DDM. </w:t>
      </w:r>
    </w:p>
    <w:p w14:paraId="4838D3FF" w14:textId="40B66CA3" w:rsidR="007910FE" w:rsidRPr="00204BAE" w:rsidRDefault="00000000">
      <w:pPr>
        <w:pStyle w:val="Zkladntext"/>
        <w:numPr>
          <w:ilvl w:val="0"/>
          <w:numId w:val="3"/>
        </w:numPr>
        <w:tabs>
          <w:tab w:val="left" w:pos="709"/>
        </w:tabs>
        <w:rPr>
          <w:rFonts w:ascii="Calibri" w:hAnsi="Calibri" w:cs="Calibri"/>
          <w:color w:val="auto"/>
        </w:rPr>
      </w:pPr>
      <w:r w:rsidRPr="00204BAE">
        <w:rPr>
          <w:rFonts w:ascii="Calibri" w:hAnsi="Calibri" w:cs="Calibri"/>
          <w:color w:val="auto"/>
        </w:rPr>
        <w:t>DDM může v souladu s právními předpisy úplatu snížit nebo od úplaty osvobodit, pokud jsou splněny zákonné nebo předem stanovené podmínky</w:t>
      </w:r>
      <w:r w:rsidR="00204BAE" w:rsidRPr="00204BAE">
        <w:rPr>
          <w:rFonts w:ascii="Calibri" w:hAnsi="Calibri" w:cs="Calibri"/>
          <w:color w:val="auto"/>
        </w:rPr>
        <w:t xml:space="preserve"> dle </w:t>
      </w:r>
      <w:hyperlink r:id="rId7" w:anchor="paragraf123" w:tgtFrame="_blank" w:history="1">
        <w:r w:rsidR="00204BAE" w:rsidRPr="00204BAE">
          <w:rPr>
            <w:rStyle w:val="Hypertextovodkaz"/>
            <w:rFonts w:ascii="Calibri" w:hAnsi="Calibri" w:cs="Calibri"/>
            <w:color w:val="auto"/>
            <w:u w:val="none"/>
          </w:rPr>
          <w:t>§ 123 školského zákona</w:t>
        </w:r>
      </w:hyperlink>
      <w:r w:rsidR="00204BAE" w:rsidRPr="00204BAE">
        <w:rPr>
          <w:rFonts w:ascii="Calibri" w:hAnsi="Calibri" w:cs="Calibri"/>
          <w:color w:val="auto"/>
        </w:rPr>
        <w:t> a </w:t>
      </w:r>
      <w:hyperlink r:id="rId8" w:anchor="paragraf11" w:tgtFrame="_blank" w:history="1">
        <w:r w:rsidR="00204BAE" w:rsidRPr="00204BAE">
          <w:rPr>
            <w:rStyle w:val="Hypertextovodkaz"/>
            <w:rFonts w:ascii="Calibri" w:hAnsi="Calibri" w:cs="Calibri"/>
            <w:color w:val="auto"/>
            <w:u w:val="none"/>
          </w:rPr>
          <w:t>§ 11 vyhlášky č. 74/2005 Sb.</w:t>
        </w:r>
      </w:hyperlink>
      <w:r w:rsidRPr="00204BAE">
        <w:rPr>
          <w:rFonts w:ascii="Calibri" w:hAnsi="Calibri" w:cs="Calibri"/>
          <w:color w:val="auto"/>
        </w:rPr>
        <w:t xml:space="preserve">. </w:t>
      </w:r>
    </w:p>
    <w:p w14:paraId="4729C616" w14:textId="77777777" w:rsidR="007910FE" w:rsidRPr="00DE5596" w:rsidRDefault="00000000">
      <w:pPr>
        <w:pStyle w:val="Nadpis2"/>
        <w:rPr>
          <w:rFonts w:ascii="Calibri" w:hAnsi="Calibri" w:cs="Calibri"/>
          <w:sz w:val="24"/>
          <w:szCs w:val="24"/>
        </w:rPr>
      </w:pPr>
      <w:r w:rsidRPr="00DE5596">
        <w:rPr>
          <w:rFonts w:ascii="Calibri" w:hAnsi="Calibri" w:cs="Calibri"/>
          <w:sz w:val="24"/>
          <w:szCs w:val="24"/>
        </w:rPr>
        <w:t>4. Zrušení aktivity ze strany DDM</w:t>
      </w:r>
    </w:p>
    <w:p w14:paraId="28A11BC6" w14:textId="77777777" w:rsidR="007910FE" w:rsidRPr="00DE5596" w:rsidRDefault="00000000">
      <w:pPr>
        <w:pStyle w:val="Zkladntext"/>
        <w:numPr>
          <w:ilvl w:val="0"/>
          <w:numId w:val="4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DDM může aktivitu před jejím zahájením nebo v jejím průběhu zrušit zejména z důvodu nízkého počtu účastníků, personálních důvodů, organizačních důvodů, bezpečnostních důvodů nebo z důvodu vyšší moci. </w:t>
      </w:r>
    </w:p>
    <w:p w14:paraId="47B35658" w14:textId="77777777" w:rsidR="007910FE" w:rsidRPr="00DE5596" w:rsidRDefault="00000000">
      <w:pPr>
        <w:pStyle w:val="Zkladntext"/>
        <w:numPr>
          <w:ilvl w:val="0"/>
          <w:numId w:val="4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Pokud DDM aktivitu zruší a nenabídne odpovídající náhradní řešení, vrátí zaplacenou úplatu nebo její poměrnou část. </w:t>
      </w:r>
    </w:p>
    <w:p w14:paraId="46043886" w14:textId="64DEEA07" w:rsidR="007910FE" w:rsidRPr="00DE5596" w:rsidRDefault="00000000">
      <w:pPr>
        <w:pStyle w:val="Zkladntext"/>
        <w:numPr>
          <w:ilvl w:val="0"/>
          <w:numId w:val="4"/>
        </w:numPr>
        <w:tabs>
          <w:tab w:val="left" w:pos="709"/>
        </w:tabs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Pokud je u pravidelné činnosti provoz omezen nebo přerušen, postupuje se při snížení úplaty podle právních předpisů </w:t>
      </w:r>
      <w:r w:rsidR="00CF670B">
        <w:rPr>
          <w:rFonts w:ascii="Calibri" w:hAnsi="Calibri" w:cs="Calibri"/>
        </w:rPr>
        <w:t xml:space="preserve">(dle </w:t>
      </w:r>
      <w:hyperlink r:id="rId9" w:anchor="paragraf11" w:tgtFrame="_blank" w:history="1">
        <w:r w:rsidR="00CF670B" w:rsidRPr="00CF670B">
          <w:rPr>
            <w:rStyle w:val="Hypertextovodkaz"/>
            <w:rFonts w:ascii="Calibri" w:hAnsi="Calibri" w:cs="Calibri"/>
            <w:color w:val="auto"/>
            <w:u w:val="none"/>
          </w:rPr>
          <w:t>§ 11 odst. 7 vyhlášky</w:t>
        </w:r>
      </w:hyperlink>
      <w:r w:rsidR="00CF670B">
        <w:rPr>
          <w:rFonts w:ascii="Calibri" w:hAnsi="Calibri" w:cs="Calibri"/>
          <w:color w:val="auto"/>
        </w:rPr>
        <w:t>)</w:t>
      </w:r>
      <w:r w:rsidR="00CF670B">
        <w:rPr>
          <w:rFonts w:ascii="Calibri" w:hAnsi="Calibri" w:cs="Calibri"/>
        </w:rPr>
        <w:t xml:space="preserve"> </w:t>
      </w:r>
      <w:r w:rsidRPr="00DE5596">
        <w:rPr>
          <w:rFonts w:ascii="Calibri" w:hAnsi="Calibri" w:cs="Calibri"/>
        </w:rPr>
        <w:t xml:space="preserve">a podle povahy konkrétní aktivity. </w:t>
      </w:r>
    </w:p>
    <w:p w14:paraId="2AF93C41" w14:textId="77777777" w:rsidR="007910FE" w:rsidRPr="007E4EA0" w:rsidRDefault="00000000">
      <w:pPr>
        <w:pStyle w:val="Nadpis2"/>
        <w:rPr>
          <w:rFonts w:ascii="Calibri" w:hAnsi="Calibri" w:cs="Calibri"/>
          <w:color w:val="auto"/>
          <w:sz w:val="24"/>
          <w:szCs w:val="24"/>
        </w:rPr>
      </w:pPr>
      <w:r w:rsidRPr="007E4EA0">
        <w:rPr>
          <w:rFonts w:ascii="Calibri" w:hAnsi="Calibri" w:cs="Calibri"/>
          <w:color w:val="auto"/>
          <w:sz w:val="24"/>
          <w:szCs w:val="24"/>
        </w:rPr>
        <w:t>5. Odhlašování z kroužků a vrácení úplaty</w:t>
      </w:r>
    </w:p>
    <w:p w14:paraId="36895FB5" w14:textId="61041A3A" w:rsidR="007910FE" w:rsidRPr="007E4EA0" w:rsidRDefault="00000000">
      <w:pPr>
        <w:pStyle w:val="Zkladntext"/>
        <w:numPr>
          <w:ilvl w:val="0"/>
          <w:numId w:val="5"/>
        </w:numPr>
        <w:tabs>
          <w:tab w:val="left" w:pos="709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>Odhlášení z pravidelné zájmové činnosti se podává písemně, zpravidla prostřednictvím klientského systému nebo e-mailem</w:t>
      </w:r>
      <w:r w:rsidR="007E4EA0" w:rsidRPr="007E4EA0">
        <w:rPr>
          <w:rFonts w:ascii="Calibri" w:hAnsi="Calibri" w:cs="Calibri"/>
          <w:color w:val="auto"/>
        </w:rPr>
        <w:t>.</w:t>
      </w:r>
      <w:r w:rsidRPr="007E4EA0">
        <w:rPr>
          <w:rFonts w:ascii="Calibri" w:hAnsi="Calibri" w:cs="Calibri"/>
          <w:color w:val="auto"/>
        </w:rPr>
        <w:t xml:space="preserve"> </w:t>
      </w:r>
    </w:p>
    <w:p w14:paraId="4F297147" w14:textId="489C1975" w:rsidR="007910FE" w:rsidRPr="007E4EA0" w:rsidRDefault="00000000">
      <w:pPr>
        <w:pStyle w:val="Zkladntext"/>
        <w:numPr>
          <w:ilvl w:val="0"/>
          <w:numId w:val="5"/>
        </w:numPr>
        <w:tabs>
          <w:tab w:val="left" w:pos="709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Odhlášení je účinné dnem doručení žádosti. </w:t>
      </w:r>
    </w:p>
    <w:p w14:paraId="03EB986C" w14:textId="77777777" w:rsidR="007910FE" w:rsidRPr="007E4EA0" w:rsidRDefault="00000000">
      <w:pPr>
        <w:pStyle w:val="Zkladntext"/>
        <w:numPr>
          <w:ilvl w:val="0"/>
          <w:numId w:val="5"/>
        </w:numPr>
        <w:tabs>
          <w:tab w:val="left" w:pos="709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Při předčasném ukončení docházky může DDM na základě písemné žádosti vrátit část nevyčerpané úplaty, zejména jde-li o: </w:t>
      </w:r>
    </w:p>
    <w:p w14:paraId="004322BB" w14:textId="77777777" w:rsidR="007910FE" w:rsidRPr="007E4EA0" w:rsidRDefault="00000000">
      <w:pPr>
        <w:pStyle w:val="Zkladntext"/>
        <w:numPr>
          <w:ilvl w:val="1"/>
          <w:numId w:val="5"/>
        </w:numPr>
        <w:tabs>
          <w:tab w:val="left" w:pos="1418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dlouhodobé zdravotní důvody, </w:t>
      </w:r>
    </w:p>
    <w:p w14:paraId="2A981BF4" w14:textId="77777777" w:rsidR="007910FE" w:rsidRPr="007E4EA0" w:rsidRDefault="00000000">
      <w:pPr>
        <w:pStyle w:val="Zkladntext"/>
        <w:numPr>
          <w:ilvl w:val="1"/>
          <w:numId w:val="5"/>
        </w:numPr>
        <w:tabs>
          <w:tab w:val="left" w:pos="1418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změnu bydliště, </w:t>
      </w:r>
    </w:p>
    <w:p w14:paraId="28752614" w14:textId="77777777" w:rsidR="007910FE" w:rsidRPr="007E4EA0" w:rsidRDefault="00000000">
      <w:pPr>
        <w:pStyle w:val="Zkladntext"/>
        <w:numPr>
          <w:ilvl w:val="1"/>
          <w:numId w:val="5"/>
        </w:numPr>
        <w:tabs>
          <w:tab w:val="left" w:pos="1418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jiné doložené závažné okolnosti. </w:t>
      </w:r>
    </w:p>
    <w:p w14:paraId="3142853D" w14:textId="77777777" w:rsidR="007910FE" w:rsidRPr="007E4EA0" w:rsidRDefault="00000000">
      <w:pPr>
        <w:pStyle w:val="Zkladntext"/>
        <w:numPr>
          <w:ilvl w:val="0"/>
          <w:numId w:val="5"/>
        </w:numPr>
        <w:tabs>
          <w:tab w:val="left" w:pos="709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V těchto případech DDM zpravidla vrátí </w:t>
      </w:r>
      <w:r w:rsidRPr="007E4EA0">
        <w:rPr>
          <w:rStyle w:val="Siln"/>
          <w:rFonts w:ascii="Calibri" w:hAnsi="Calibri" w:cs="Calibri"/>
          <w:color w:val="auto"/>
        </w:rPr>
        <w:t>70 % poměrné části úplaty za neuskutečněnou účast</w:t>
      </w:r>
      <w:r w:rsidRPr="007E4EA0">
        <w:rPr>
          <w:rFonts w:ascii="Calibri" w:hAnsi="Calibri" w:cs="Calibri"/>
          <w:color w:val="auto"/>
        </w:rPr>
        <w:t xml:space="preserve">, pokud již nevznikly další nevratné náklady spojené s účastí. </w:t>
      </w:r>
    </w:p>
    <w:p w14:paraId="5FFE42EF" w14:textId="77777777" w:rsidR="007910FE" w:rsidRPr="007E4EA0" w:rsidRDefault="00000000">
      <w:pPr>
        <w:pStyle w:val="Zkladntext"/>
        <w:numPr>
          <w:ilvl w:val="0"/>
          <w:numId w:val="5"/>
        </w:numPr>
        <w:tabs>
          <w:tab w:val="left" w:pos="709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Zbývající část úplaty může být použita na úhradu již vzniklých administrativních, organizačních a provozních nákladů. </w:t>
      </w:r>
    </w:p>
    <w:p w14:paraId="385AB97E" w14:textId="77777777" w:rsidR="007910FE" w:rsidRPr="007E4EA0" w:rsidRDefault="00000000">
      <w:pPr>
        <w:pStyle w:val="Zkladntext"/>
        <w:numPr>
          <w:ilvl w:val="0"/>
          <w:numId w:val="5"/>
        </w:numPr>
        <w:tabs>
          <w:tab w:val="left" w:pos="709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Nárok na vrácení úplaty nevzniká automaticky za jednotlivé omluvené absence. </w:t>
      </w:r>
    </w:p>
    <w:p w14:paraId="0B8AFB7B" w14:textId="77777777" w:rsidR="007910FE" w:rsidRPr="007E4EA0" w:rsidRDefault="00000000">
      <w:pPr>
        <w:pStyle w:val="Zkladntext"/>
        <w:numPr>
          <w:ilvl w:val="0"/>
          <w:numId w:val="5"/>
        </w:numPr>
        <w:tabs>
          <w:tab w:val="left" w:pos="709"/>
        </w:tabs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Pokud je možné místo účastníka bez obtíží obsadit náhradníkem a nevzniknou tím DDM další náklady, může DDM rozhodnout o vrácení vyšší části úplaty. </w:t>
      </w:r>
    </w:p>
    <w:p w14:paraId="6DDE55F4" w14:textId="77777777" w:rsidR="007910FE" w:rsidRPr="007E4EA0" w:rsidRDefault="00000000">
      <w:pPr>
        <w:pStyle w:val="Nadpis2"/>
        <w:rPr>
          <w:rFonts w:ascii="Calibri" w:hAnsi="Calibri" w:cs="Calibri"/>
          <w:color w:val="auto"/>
          <w:sz w:val="24"/>
          <w:szCs w:val="24"/>
        </w:rPr>
      </w:pPr>
      <w:r w:rsidRPr="007E4EA0">
        <w:rPr>
          <w:rFonts w:ascii="Calibri" w:hAnsi="Calibri" w:cs="Calibri"/>
          <w:color w:val="auto"/>
          <w:sz w:val="24"/>
          <w:szCs w:val="24"/>
        </w:rPr>
        <w:t>6. Odhlašování z táborů, příměstských táborů, kurzů a jednorázových akcí</w:t>
      </w:r>
    </w:p>
    <w:p w14:paraId="05945B4B" w14:textId="1F5DFDF0" w:rsidR="007910FE" w:rsidRPr="007E4EA0" w:rsidRDefault="00000000">
      <w:pPr>
        <w:pStyle w:val="Zkladntext"/>
        <w:numPr>
          <w:ilvl w:val="0"/>
          <w:numId w:val="6"/>
        </w:numPr>
        <w:tabs>
          <w:tab w:val="left" w:pos="709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>Odhlášení se podává písemně, zpravidla prostřednictvím klientského systému nebo e-maile</w:t>
      </w:r>
      <w:r w:rsidR="007E4EA0" w:rsidRPr="007E4EA0">
        <w:rPr>
          <w:rFonts w:ascii="Calibri" w:hAnsi="Calibri" w:cs="Calibri"/>
          <w:color w:val="auto"/>
        </w:rPr>
        <w:t>m</w:t>
      </w:r>
      <w:r w:rsidRPr="007E4EA0">
        <w:rPr>
          <w:rFonts w:ascii="Calibri" w:hAnsi="Calibri" w:cs="Calibri"/>
          <w:color w:val="auto"/>
        </w:rPr>
        <w:t xml:space="preserve">. </w:t>
      </w:r>
    </w:p>
    <w:p w14:paraId="277F0438" w14:textId="77777777" w:rsidR="007910FE" w:rsidRPr="007E4EA0" w:rsidRDefault="00000000">
      <w:pPr>
        <w:pStyle w:val="Zkladntext"/>
        <w:numPr>
          <w:ilvl w:val="0"/>
          <w:numId w:val="6"/>
        </w:numPr>
        <w:tabs>
          <w:tab w:val="left" w:pos="709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Rozhodující je den doručení odhlášení DDM. </w:t>
      </w:r>
    </w:p>
    <w:p w14:paraId="4ED1A61E" w14:textId="77777777" w:rsidR="007910FE" w:rsidRPr="007E4EA0" w:rsidRDefault="00000000">
      <w:pPr>
        <w:pStyle w:val="Zkladntext"/>
        <w:numPr>
          <w:ilvl w:val="0"/>
          <w:numId w:val="6"/>
        </w:numPr>
        <w:tabs>
          <w:tab w:val="left" w:pos="709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Při odhlášení před zahájením akce se vrací uhrazená částka snížená o storno poplatek, který činí: </w:t>
      </w:r>
    </w:p>
    <w:p w14:paraId="5BDEBB91" w14:textId="60F342EF" w:rsidR="007910FE" w:rsidRPr="007E4EA0" w:rsidRDefault="00000000">
      <w:pPr>
        <w:pStyle w:val="Zkladntext"/>
        <w:numPr>
          <w:ilvl w:val="1"/>
          <w:numId w:val="6"/>
        </w:numPr>
        <w:tabs>
          <w:tab w:val="left" w:pos="1418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45 a více dnů před zahájením: 0 % ceny, </w:t>
      </w:r>
    </w:p>
    <w:p w14:paraId="0ACE8E62" w14:textId="77777777" w:rsidR="007910FE" w:rsidRPr="007E4EA0" w:rsidRDefault="00000000">
      <w:pPr>
        <w:pStyle w:val="Zkladntext"/>
        <w:numPr>
          <w:ilvl w:val="1"/>
          <w:numId w:val="6"/>
        </w:numPr>
        <w:tabs>
          <w:tab w:val="left" w:pos="1418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44 až 22 dnů před zahájením: 20 % ceny, </w:t>
      </w:r>
    </w:p>
    <w:p w14:paraId="3138FDE0" w14:textId="77777777" w:rsidR="007910FE" w:rsidRPr="007E4EA0" w:rsidRDefault="00000000">
      <w:pPr>
        <w:pStyle w:val="Zkladntext"/>
        <w:numPr>
          <w:ilvl w:val="1"/>
          <w:numId w:val="6"/>
        </w:numPr>
        <w:tabs>
          <w:tab w:val="left" w:pos="1418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21 až 15 dnů před zahájením: 30 % ceny, </w:t>
      </w:r>
    </w:p>
    <w:p w14:paraId="72703DA8" w14:textId="77777777" w:rsidR="007910FE" w:rsidRPr="007E4EA0" w:rsidRDefault="00000000">
      <w:pPr>
        <w:pStyle w:val="Zkladntext"/>
        <w:numPr>
          <w:ilvl w:val="1"/>
          <w:numId w:val="6"/>
        </w:numPr>
        <w:tabs>
          <w:tab w:val="left" w:pos="1418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14 až 8 dnů před zahájením: 50 % ceny, </w:t>
      </w:r>
    </w:p>
    <w:p w14:paraId="56FA5A94" w14:textId="77777777" w:rsidR="007910FE" w:rsidRPr="007E4EA0" w:rsidRDefault="00000000">
      <w:pPr>
        <w:pStyle w:val="Zkladntext"/>
        <w:numPr>
          <w:ilvl w:val="1"/>
          <w:numId w:val="6"/>
        </w:numPr>
        <w:tabs>
          <w:tab w:val="left" w:pos="1418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lastRenderedPageBreak/>
        <w:t xml:space="preserve">7 až 1 den před zahájením: 80 % ceny, </w:t>
      </w:r>
    </w:p>
    <w:p w14:paraId="5D71C60B" w14:textId="77777777" w:rsidR="007910FE" w:rsidRPr="007E4EA0" w:rsidRDefault="00000000">
      <w:pPr>
        <w:pStyle w:val="Zkladntext"/>
        <w:numPr>
          <w:ilvl w:val="1"/>
          <w:numId w:val="6"/>
        </w:numPr>
        <w:tabs>
          <w:tab w:val="left" w:pos="1418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v den zahájení nebo po zahájení akce: 100 % ceny. </w:t>
      </w:r>
    </w:p>
    <w:p w14:paraId="70C76B82" w14:textId="77777777" w:rsidR="007910FE" w:rsidRPr="007E4EA0" w:rsidRDefault="00000000">
      <w:pPr>
        <w:pStyle w:val="Zkladntext"/>
        <w:numPr>
          <w:ilvl w:val="0"/>
          <w:numId w:val="6"/>
        </w:numPr>
        <w:tabs>
          <w:tab w:val="left" w:pos="709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Pokud zákonný zástupce zajistí vhodného náhradníka a DDM jej do akce přijme, může DDM storno poplatek přiměřeně snížit nebo neúčtovat; DDM je přitom oprávněn odečíst již vzniklé náklady. </w:t>
      </w:r>
    </w:p>
    <w:p w14:paraId="2D74606D" w14:textId="77777777" w:rsidR="007910FE" w:rsidRPr="007E4EA0" w:rsidRDefault="00000000">
      <w:pPr>
        <w:pStyle w:val="Zkladntext"/>
        <w:numPr>
          <w:ilvl w:val="0"/>
          <w:numId w:val="6"/>
        </w:numPr>
        <w:tabs>
          <w:tab w:val="left" w:pos="709"/>
        </w:tabs>
        <w:spacing w:after="0"/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V případě předčasného ukončení účasti ze závažných zdravotních důvodů doložených bez zbytečného odkladu může DDM vrátit poměrnou část ceny odpovídající nevyužitým službám, a to po vyúčtování akce a po odečtení nevratných nákladů. </w:t>
      </w:r>
    </w:p>
    <w:p w14:paraId="64A3F55C" w14:textId="77777777" w:rsidR="007910FE" w:rsidRPr="007E4EA0" w:rsidRDefault="00000000">
      <w:pPr>
        <w:pStyle w:val="Zkladntext"/>
        <w:numPr>
          <w:ilvl w:val="0"/>
          <w:numId w:val="6"/>
        </w:numPr>
        <w:tabs>
          <w:tab w:val="left" w:pos="709"/>
        </w:tabs>
        <w:rPr>
          <w:rFonts w:ascii="Calibri" w:hAnsi="Calibri" w:cs="Calibri"/>
          <w:color w:val="auto"/>
        </w:rPr>
      </w:pPr>
      <w:r w:rsidRPr="007E4EA0">
        <w:rPr>
          <w:rFonts w:ascii="Calibri" w:hAnsi="Calibri" w:cs="Calibri"/>
          <w:color w:val="auto"/>
        </w:rPr>
        <w:t xml:space="preserve">Pokud účastník z akce odjede z jiných než doložených závažných důvodů, nárok na vrácení ceny zpravidla nevzniká. </w:t>
      </w:r>
    </w:p>
    <w:p w14:paraId="0108BA5E" w14:textId="77777777" w:rsidR="007910FE" w:rsidRPr="00DE5596" w:rsidRDefault="00000000">
      <w:pPr>
        <w:pStyle w:val="Nadpis2"/>
        <w:rPr>
          <w:rFonts w:ascii="Calibri" w:hAnsi="Calibri" w:cs="Calibri"/>
          <w:sz w:val="24"/>
          <w:szCs w:val="24"/>
        </w:rPr>
      </w:pPr>
      <w:r w:rsidRPr="00DE5596">
        <w:rPr>
          <w:rFonts w:ascii="Calibri" w:hAnsi="Calibri" w:cs="Calibri"/>
          <w:sz w:val="24"/>
          <w:szCs w:val="24"/>
        </w:rPr>
        <w:t>7. Způsob podání žádosti a vyřízení vratky</w:t>
      </w:r>
    </w:p>
    <w:p w14:paraId="46E269DC" w14:textId="77777777" w:rsidR="007910FE" w:rsidRPr="00DE5596" w:rsidRDefault="00000000">
      <w:pPr>
        <w:pStyle w:val="Zkladntext"/>
        <w:numPr>
          <w:ilvl w:val="0"/>
          <w:numId w:val="7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Žádost o vrácení úplaty musí obsahovat alespoň: </w:t>
      </w:r>
    </w:p>
    <w:p w14:paraId="77040239" w14:textId="77777777" w:rsidR="007910FE" w:rsidRPr="00DE5596" w:rsidRDefault="00000000">
      <w:pPr>
        <w:pStyle w:val="Zkladntext"/>
        <w:numPr>
          <w:ilvl w:val="1"/>
          <w:numId w:val="7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identifikaci účastníka, </w:t>
      </w:r>
    </w:p>
    <w:p w14:paraId="6FD64030" w14:textId="77777777" w:rsidR="007910FE" w:rsidRPr="00DE5596" w:rsidRDefault="00000000">
      <w:pPr>
        <w:pStyle w:val="Zkladntext"/>
        <w:numPr>
          <w:ilvl w:val="1"/>
          <w:numId w:val="7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označení aktivity, </w:t>
      </w:r>
    </w:p>
    <w:p w14:paraId="09695878" w14:textId="77777777" w:rsidR="007910FE" w:rsidRPr="00DE5596" w:rsidRDefault="00000000">
      <w:pPr>
        <w:pStyle w:val="Zkladntext"/>
        <w:numPr>
          <w:ilvl w:val="1"/>
          <w:numId w:val="7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důvod žádosti, </w:t>
      </w:r>
    </w:p>
    <w:p w14:paraId="29739DC8" w14:textId="77777777" w:rsidR="007910FE" w:rsidRPr="00DE5596" w:rsidRDefault="00000000">
      <w:pPr>
        <w:pStyle w:val="Zkladntext"/>
        <w:numPr>
          <w:ilvl w:val="1"/>
          <w:numId w:val="7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datum ukončení účasti nebo datum odhlášení, </w:t>
      </w:r>
    </w:p>
    <w:p w14:paraId="5378BF3F" w14:textId="77777777" w:rsidR="007910FE" w:rsidRPr="00DE5596" w:rsidRDefault="00000000">
      <w:pPr>
        <w:pStyle w:val="Zkladntext"/>
        <w:numPr>
          <w:ilvl w:val="1"/>
          <w:numId w:val="7"/>
        </w:numPr>
        <w:tabs>
          <w:tab w:val="left" w:pos="1418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číslo účtu pro vrácení částky, pokud není vedeno v klientském systému. </w:t>
      </w:r>
    </w:p>
    <w:p w14:paraId="5A4DB990" w14:textId="4F85490C" w:rsidR="007910FE" w:rsidRPr="00DE5596" w:rsidRDefault="00000000">
      <w:pPr>
        <w:pStyle w:val="Zkladntext"/>
        <w:numPr>
          <w:ilvl w:val="0"/>
          <w:numId w:val="7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>DDM může vyžádat doložení tvrzených skutečností, zejména při žádosti z důvodu dlouhodobých zdravotních překážek</w:t>
      </w:r>
      <w:r w:rsidR="00065550">
        <w:rPr>
          <w:rFonts w:ascii="Calibri" w:hAnsi="Calibri" w:cs="Calibri"/>
        </w:rPr>
        <w:t xml:space="preserve"> (postačí krátké</w:t>
      </w:r>
      <w:r w:rsidR="00065550" w:rsidRPr="00065550">
        <w:rPr>
          <w:rFonts w:ascii="Calibri" w:hAnsi="Calibri" w:cs="Calibri"/>
        </w:rPr>
        <w:t xml:space="preserve"> potvrzení od lékaře, že se dítě ze zdravotních důvodů nemůže po určitou dobu účastnit daného kroužku či akce</w:t>
      </w:r>
      <w:r w:rsidR="00065550">
        <w:rPr>
          <w:rFonts w:ascii="Calibri" w:hAnsi="Calibri" w:cs="Calibri"/>
        </w:rPr>
        <w:t>; n</w:t>
      </w:r>
      <w:r w:rsidR="00065550" w:rsidRPr="00065550">
        <w:rPr>
          <w:rFonts w:ascii="Calibri" w:hAnsi="Calibri" w:cs="Calibri"/>
        </w:rPr>
        <w:t>ení třeba zasílat podrobnou lékařskou zprávu ani diagnózu</w:t>
      </w:r>
      <w:r w:rsidR="00065550">
        <w:rPr>
          <w:rFonts w:ascii="Calibri" w:hAnsi="Calibri" w:cs="Calibri"/>
        </w:rPr>
        <w:t>).</w:t>
      </w:r>
    </w:p>
    <w:p w14:paraId="72D4B5CE" w14:textId="77777777" w:rsidR="007910FE" w:rsidRPr="00DE5596" w:rsidRDefault="00000000">
      <w:pPr>
        <w:pStyle w:val="Zkladntext"/>
        <w:numPr>
          <w:ilvl w:val="0"/>
          <w:numId w:val="7"/>
        </w:numPr>
        <w:tabs>
          <w:tab w:val="left" w:pos="709"/>
        </w:tabs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O žádosti rozhodne DDM bez zbytečného odkladu, zpravidla do 30 dnů ode dne doručení úplné žádosti nebo ode dne vyúčtování akce. </w:t>
      </w:r>
    </w:p>
    <w:p w14:paraId="654FA0A3" w14:textId="77777777" w:rsidR="007910FE" w:rsidRPr="00DE5596" w:rsidRDefault="00000000">
      <w:pPr>
        <w:pStyle w:val="Nadpis2"/>
        <w:rPr>
          <w:rFonts w:ascii="Calibri" w:hAnsi="Calibri" w:cs="Calibri"/>
          <w:sz w:val="24"/>
          <w:szCs w:val="24"/>
        </w:rPr>
      </w:pPr>
      <w:r w:rsidRPr="00DE5596">
        <w:rPr>
          <w:rFonts w:ascii="Calibri" w:hAnsi="Calibri" w:cs="Calibri"/>
          <w:sz w:val="24"/>
          <w:szCs w:val="24"/>
        </w:rPr>
        <w:t>8. Další informace pro účastníky a zákonné zástupce</w:t>
      </w:r>
    </w:p>
    <w:p w14:paraId="3AD27058" w14:textId="77777777" w:rsidR="007910FE" w:rsidRPr="00DE5596" w:rsidRDefault="00000000">
      <w:pPr>
        <w:pStyle w:val="Zkladntext"/>
        <w:numPr>
          <w:ilvl w:val="0"/>
          <w:numId w:val="8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U některých aktivit mohou vzniknout další náklady, například na dopravu, vstupné, materiál, kostýmy, soutěže nebo ubytování. Tyto náklady musí být předem oznámeny, případně uvedeny v popisu aktivity. </w:t>
      </w:r>
    </w:p>
    <w:p w14:paraId="362CC5B9" w14:textId="77777777" w:rsidR="007910FE" w:rsidRPr="00DE5596" w:rsidRDefault="00000000">
      <w:pPr>
        <w:pStyle w:val="Zkladntext"/>
        <w:numPr>
          <w:ilvl w:val="0"/>
          <w:numId w:val="8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Délka, četnost a rozsah jednotlivých lekcí nebo akcí jsou uvedeny u konkrétní aktivity. </w:t>
      </w:r>
    </w:p>
    <w:p w14:paraId="6EAA174E" w14:textId="0B144092" w:rsidR="007910FE" w:rsidRPr="00DE5596" w:rsidRDefault="00000000">
      <w:pPr>
        <w:pStyle w:val="Zkladntext"/>
        <w:numPr>
          <w:ilvl w:val="0"/>
          <w:numId w:val="8"/>
        </w:numPr>
        <w:tabs>
          <w:tab w:val="left" w:pos="709"/>
        </w:tabs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DDM zajišťuje bezpečnost účastníků v rozsahu stanoveném právními předpisy a vnitřními pravidly. </w:t>
      </w:r>
    </w:p>
    <w:p w14:paraId="0E4D0805" w14:textId="77777777" w:rsidR="007910FE" w:rsidRPr="00DE5596" w:rsidRDefault="00000000">
      <w:pPr>
        <w:pStyle w:val="Nadpis2"/>
        <w:rPr>
          <w:rFonts w:ascii="Calibri" w:hAnsi="Calibri" w:cs="Calibri"/>
          <w:sz w:val="24"/>
          <w:szCs w:val="24"/>
        </w:rPr>
      </w:pPr>
      <w:r w:rsidRPr="00DE5596">
        <w:rPr>
          <w:rFonts w:ascii="Calibri" w:hAnsi="Calibri" w:cs="Calibri"/>
          <w:sz w:val="24"/>
          <w:szCs w:val="24"/>
        </w:rPr>
        <w:t>9. Závěrečná ustanovení</w:t>
      </w:r>
    </w:p>
    <w:p w14:paraId="3C3964E2" w14:textId="77777777" w:rsidR="007910FE" w:rsidRPr="00DE5596" w:rsidRDefault="00000000">
      <w:pPr>
        <w:pStyle w:val="Zkladntext"/>
        <w:numPr>
          <w:ilvl w:val="0"/>
          <w:numId w:val="9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Tento dokument je přílohou vnitřního řádu DDM. </w:t>
      </w:r>
    </w:p>
    <w:p w14:paraId="00E00D5E" w14:textId="7FF1F884" w:rsidR="007910FE" w:rsidRPr="00DE5596" w:rsidRDefault="00000000">
      <w:pPr>
        <w:pStyle w:val="Zkladntext"/>
        <w:numPr>
          <w:ilvl w:val="0"/>
          <w:numId w:val="9"/>
        </w:numPr>
        <w:tabs>
          <w:tab w:val="left" w:pos="709"/>
        </w:tabs>
        <w:spacing w:after="0"/>
        <w:rPr>
          <w:rFonts w:ascii="Calibri" w:hAnsi="Calibri" w:cs="Calibri"/>
        </w:rPr>
      </w:pPr>
      <w:r w:rsidRPr="00DE5596">
        <w:rPr>
          <w:rFonts w:ascii="Calibri" w:hAnsi="Calibri" w:cs="Calibri"/>
        </w:rPr>
        <w:t xml:space="preserve">Tento dokument nabývá účinnosti dne </w:t>
      </w:r>
      <w:r w:rsidR="00516368">
        <w:rPr>
          <w:rFonts w:ascii="Calibri" w:hAnsi="Calibri" w:cs="Calibri"/>
        </w:rPr>
        <w:t>2</w:t>
      </w:r>
      <w:r w:rsidR="003C1D2D">
        <w:rPr>
          <w:rFonts w:ascii="Calibri" w:hAnsi="Calibri" w:cs="Calibri"/>
        </w:rPr>
        <w:t xml:space="preserve">1. </w:t>
      </w:r>
      <w:r w:rsidR="00516368">
        <w:rPr>
          <w:rFonts w:ascii="Calibri" w:hAnsi="Calibri" w:cs="Calibri"/>
        </w:rPr>
        <w:t>9</w:t>
      </w:r>
      <w:r w:rsidR="003C1D2D">
        <w:rPr>
          <w:rFonts w:ascii="Calibri" w:hAnsi="Calibri" w:cs="Calibri"/>
        </w:rPr>
        <w:t>. 2026</w:t>
      </w:r>
      <w:r w:rsidRPr="00DE5596">
        <w:rPr>
          <w:rFonts w:ascii="Calibri" w:hAnsi="Calibri" w:cs="Calibri"/>
        </w:rPr>
        <w:t xml:space="preserve">. </w:t>
      </w:r>
    </w:p>
    <w:p w14:paraId="1A6D3983" w14:textId="77777777" w:rsidR="00204BAE" w:rsidRDefault="00204BAE">
      <w:pPr>
        <w:pStyle w:val="Zkladntext"/>
        <w:rPr>
          <w:rFonts w:ascii="Calibri" w:hAnsi="Calibri" w:cs="Calibri"/>
          <w:color w:val="EE0000"/>
        </w:rPr>
      </w:pPr>
    </w:p>
    <w:p w14:paraId="3B97B605" w14:textId="6D06D6A5" w:rsidR="007910FE" w:rsidRPr="00204BAE" w:rsidRDefault="00000000">
      <w:pPr>
        <w:pStyle w:val="Zkladntext"/>
        <w:rPr>
          <w:rFonts w:ascii="Calibri" w:hAnsi="Calibri" w:cs="Calibri"/>
          <w:color w:val="auto"/>
        </w:rPr>
      </w:pPr>
      <w:r w:rsidRPr="00204BAE">
        <w:rPr>
          <w:rFonts w:ascii="Calibri" w:hAnsi="Calibri" w:cs="Calibri"/>
          <w:color w:val="auto"/>
        </w:rPr>
        <w:t>V</w:t>
      </w:r>
      <w:r w:rsidR="00204BAE" w:rsidRPr="00204BAE">
        <w:rPr>
          <w:rFonts w:ascii="Calibri" w:hAnsi="Calibri" w:cs="Calibri"/>
          <w:color w:val="auto"/>
        </w:rPr>
        <w:t xml:space="preserve"> Chocni dne </w:t>
      </w:r>
      <w:r w:rsidR="007E4EA0">
        <w:rPr>
          <w:rFonts w:ascii="Calibri" w:hAnsi="Calibri" w:cs="Calibri"/>
          <w:color w:val="auto"/>
        </w:rPr>
        <w:t>1</w:t>
      </w:r>
      <w:r w:rsidR="00204BAE" w:rsidRPr="00204BAE">
        <w:rPr>
          <w:rFonts w:ascii="Calibri" w:hAnsi="Calibri" w:cs="Calibri"/>
          <w:color w:val="auto"/>
        </w:rPr>
        <w:t xml:space="preserve">. </w:t>
      </w:r>
      <w:r w:rsidR="00516368">
        <w:rPr>
          <w:rFonts w:ascii="Calibri" w:hAnsi="Calibri" w:cs="Calibri"/>
          <w:color w:val="auto"/>
        </w:rPr>
        <w:t>9</w:t>
      </w:r>
      <w:r w:rsidR="00204BAE" w:rsidRPr="00204BAE">
        <w:rPr>
          <w:rFonts w:ascii="Calibri" w:hAnsi="Calibri" w:cs="Calibri"/>
          <w:color w:val="auto"/>
        </w:rPr>
        <w:t>. 2026</w:t>
      </w:r>
    </w:p>
    <w:p w14:paraId="0A553DA7" w14:textId="7679CB63" w:rsidR="007910FE" w:rsidRPr="00D34D37" w:rsidRDefault="00204BAE" w:rsidP="00D34D37">
      <w:pPr>
        <w:pStyle w:val="Zkladntext"/>
        <w:jc w:val="right"/>
        <w:rPr>
          <w:rFonts w:ascii="Calibri" w:hAnsi="Calibri" w:cs="Calibri"/>
          <w:color w:val="auto"/>
        </w:rPr>
      </w:pPr>
      <w:r w:rsidRPr="00204BAE">
        <w:rPr>
          <w:rFonts w:ascii="Calibri" w:hAnsi="Calibri" w:cs="Calibri"/>
          <w:color w:val="auto"/>
        </w:rPr>
        <w:t>Mgr. Veronika Zítková, MBA, ředitelka DDM</w:t>
      </w:r>
    </w:p>
    <w:sectPr w:rsidR="007910FE" w:rsidRPr="00D34D37">
      <w:headerReference w:type="default" r:id="rId10"/>
      <w:pgSz w:w="12240" w:h="15840"/>
      <w:pgMar w:top="567" w:right="567" w:bottom="567" w:left="1134" w:header="0" w:footer="0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A90D6" w14:textId="77777777" w:rsidR="006F6CAF" w:rsidRDefault="006F6CAF" w:rsidP="00693419">
      <w:r>
        <w:separator/>
      </w:r>
    </w:p>
  </w:endnote>
  <w:endnote w:type="continuationSeparator" w:id="0">
    <w:p w14:paraId="7252B911" w14:textId="77777777" w:rsidR="006F6CAF" w:rsidRDefault="006F6CAF" w:rsidP="00693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Segoe UI;Arial;sans-serif">
    <w:altName w:val="Segoe UI"/>
    <w:panose1 w:val="00000000000000000000"/>
    <w:charset w:val="00"/>
    <w:family w:val="roman"/>
    <w:notTrueType/>
    <w:pitch w:val="default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4484D" w14:textId="77777777" w:rsidR="006F6CAF" w:rsidRDefault="006F6CAF" w:rsidP="00693419">
      <w:r>
        <w:separator/>
      </w:r>
    </w:p>
  </w:footnote>
  <w:footnote w:type="continuationSeparator" w:id="0">
    <w:p w14:paraId="41102308" w14:textId="77777777" w:rsidR="006F6CAF" w:rsidRDefault="006F6CAF" w:rsidP="00693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BBDA3" w14:textId="77777777" w:rsidR="00693419" w:rsidRDefault="00693419" w:rsidP="00693419">
    <w:pPr>
      <w:pStyle w:val="Zhlav"/>
      <w:rPr>
        <w:sz w:val="18"/>
        <w:szCs w:val="18"/>
      </w:rPr>
    </w:pPr>
  </w:p>
  <w:p w14:paraId="37748260" w14:textId="1000E55C" w:rsidR="00693419" w:rsidRDefault="00693419" w:rsidP="00693419">
    <w:pPr>
      <w:pStyle w:val="Zhlav"/>
    </w:pPr>
    <w:r w:rsidRPr="00A448AD">
      <w:rPr>
        <w:noProof/>
      </w:rPr>
      <w:drawing>
        <wp:inline distT="0" distB="0" distL="0" distR="0" wp14:anchorId="50F843E4" wp14:editId="5F516A6D">
          <wp:extent cx="933450" cy="447675"/>
          <wp:effectExtent l="0" t="0" r="0" b="9525"/>
          <wp:docPr id="1" name="Obrázek 1" descr="C:\Users\PC\Desktop\NA_PARAPLETI_barevn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C:\Users\PC\Desktop\NA_PARAPLETI_barevn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93419">
      <w:rPr>
        <w:sz w:val="18"/>
        <w:szCs w:val="18"/>
      </w:rPr>
      <w:tab/>
      <w:t xml:space="preserve">  </w:t>
    </w:r>
    <w:r>
      <w:rPr>
        <w:sz w:val="18"/>
        <w:szCs w:val="18"/>
      </w:rPr>
      <w:t xml:space="preserve">                                                                                                                                          </w:t>
    </w:r>
    <w:r w:rsidRPr="00693419">
      <w:rPr>
        <w:sz w:val="18"/>
        <w:szCs w:val="18"/>
      </w:rPr>
      <w:t xml:space="preserve">  </w:t>
    </w:r>
    <w:r w:rsidRPr="00693419">
      <w:rPr>
        <w:rFonts w:ascii="Calibri" w:hAnsi="Calibri" w:cs="Calibri"/>
        <w:sz w:val="18"/>
        <w:szCs w:val="18"/>
      </w:rPr>
      <w:t>Dům dětí a mládeže Choceň</w:t>
    </w:r>
    <w:r>
      <w:tab/>
    </w:r>
    <w:r>
      <w:tab/>
    </w:r>
    <w:r>
      <w:tab/>
    </w:r>
    <w:r>
      <w:tab/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316E1"/>
    <w:multiLevelType w:val="multilevel"/>
    <w:tmpl w:val="B48E1E3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15F100E3"/>
    <w:multiLevelType w:val="multilevel"/>
    <w:tmpl w:val="8978382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1B5001A9"/>
    <w:multiLevelType w:val="multilevel"/>
    <w:tmpl w:val="BF86F76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3" w15:restartNumberingAfterBreak="0">
    <w:nsid w:val="1B7164F7"/>
    <w:multiLevelType w:val="multilevel"/>
    <w:tmpl w:val="2AC2B4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1EE269C8"/>
    <w:multiLevelType w:val="multilevel"/>
    <w:tmpl w:val="FCC6DAEE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 w15:restartNumberingAfterBreak="0">
    <w:nsid w:val="1F497006"/>
    <w:multiLevelType w:val="multilevel"/>
    <w:tmpl w:val="E8802C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874144A"/>
    <w:multiLevelType w:val="multilevel"/>
    <w:tmpl w:val="376EC13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 w15:restartNumberingAfterBreak="0">
    <w:nsid w:val="2F033C3C"/>
    <w:multiLevelType w:val="multilevel"/>
    <w:tmpl w:val="3A30D5E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 w15:restartNumberingAfterBreak="0">
    <w:nsid w:val="34751F55"/>
    <w:multiLevelType w:val="multilevel"/>
    <w:tmpl w:val="820EE0A8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 w15:restartNumberingAfterBreak="0">
    <w:nsid w:val="358F5F7E"/>
    <w:multiLevelType w:val="multilevel"/>
    <w:tmpl w:val="66DEC17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0" w15:restartNumberingAfterBreak="0">
    <w:nsid w:val="3B1A21A4"/>
    <w:multiLevelType w:val="multilevel"/>
    <w:tmpl w:val="887A2BC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1" w15:restartNumberingAfterBreak="0">
    <w:nsid w:val="3E1D22F2"/>
    <w:multiLevelType w:val="multilevel"/>
    <w:tmpl w:val="CFDCD6E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2" w15:restartNumberingAfterBreak="0">
    <w:nsid w:val="40F52D32"/>
    <w:multiLevelType w:val="multilevel"/>
    <w:tmpl w:val="25B85AD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3" w15:restartNumberingAfterBreak="0">
    <w:nsid w:val="4FBC29EF"/>
    <w:multiLevelType w:val="multilevel"/>
    <w:tmpl w:val="E27C71A8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4" w15:restartNumberingAfterBreak="0">
    <w:nsid w:val="5482567C"/>
    <w:multiLevelType w:val="multilevel"/>
    <w:tmpl w:val="2F22ACB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5" w15:restartNumberingAfterBreak="0">
    <w:nsid w:val="59F41C92"/>
    <w:multiLevelType w:val="multilevel"/>
    <w:tmpl w:val="841EDA28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6" w15:restartNumberingAfterBreak="0">
    <w:nsid w:val="5D182A12"/>
    <w:multiLevelType w:val="multilevel"/>
    <w:tmpl w:val="3B1A9D1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7" w15:restartNumberingAfterBreak="0">
    <w:nsid w:val="6006003D"/>
    <w:multiLevelType w:val="multilevel"/>
    <w:tmpl w:val="A01A8A8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 w16cid:durableId="162668941">
    <w:abstractNumId w:val="6"/>
  </w:num>
  <w:num w:numId="2" w16cid:durableId="328866936">
    <w:abstractNumId w:val="7"/>
  </w:num>
  <w:num w:numId="3" w16cid:durableId="1754356360">
    <w:abstractNumId w:val="12"/>
  </w:num>
  <w:num w:numId="4" w16cid:durableId="218370572">
    <w:abstractNumId w:val="2"/>
  </w:num>
  <w:num w:numId="5" w16cid:durableId="232858330">
    <w:abstractNumId w:val="13"/>
  </w:num>
  <w:num w:numId="6" w16cid:durableId="489491147">
    <w:abstractNumId w:val="4"/>
  </w:num>
  <w:num w:numId="7" w16cid:durableId="845025360">
    <w:abstractNumId w:val="3"/>
  </w:num>
  <w:num w:numId="8" w16cid:durableId="1680883541">
    <w:abstractNumId w:val="16"/>
  </w:num>
  <w:num w:numId="9" w16cid:durableId="220599074">
    <w:abstractNumId w:val="9"/>
  </w:num>
  <w:num w:numId="10" w16cid:durableId="1876769301">
    <w:abstractNumId w:val="10"/>
  </w:num>
  <w:num w:numId="11" w16cid:durableId="1246837169">
    <w:abstractNumId w:val="15"/>
  </w:num>
  <w:num w:numId="12" w16cid:durableId="352461318">
    <w:abstractNumId w:val="17"/>
  </w:num>
  <w:num w:numId="13" w16cid:durableId="6637777">
    <w:abstractNumId w:val="8"/>
  </w:num>
  <w:num w:numId="14" w16cid:durableId="391851472">
    <w:abstractNumId w:val="0"/>
  </w:num>
  <w:num w:numId="15" w16cid:durableId="1808741568">
    <w:abstractNumId w:val="1"/>
  </w:num>
  <w:num w:numId="16" w16cid:durableId="499152128">
    <w:abstractNumId w:val="11"/>
  </w:num>
  <w:num w:numId="17" w16cid:durableId="1023244975">
    <w:abstractNumId w:val="14"/>
  </w:num>
  <w:num w:numId="18" w16cid:durableId="1310264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9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0FE"/>
    <w:rsid w:val="00065550"/>
    <w:rsid w:val="001C31E9"/>
    <w:rsid w:val="00204BAE"/>
    <w:rsid w:val="003C1D2D"/>
    <w:rsid w:val="003C2F76"/>
    <w:rsid w:val="0041491F"/>
    <w:rsid w:val="00516368"/>
    <w:rsid w:val="006706D2"/>
    <w:rsid w:val="00693419"/>
    <w:rsid w:val="006D0CFB"/>
    <w:rsid w:val="006F6CAF"/>
    <w:rsid w:val="007910FE"/>
    <w:rsid w:val="007E4EA0"/>
    <w:rsid w:val="00A66070"/>
    <w:rsid w:val="00B46505"/>
    <w:rsid w:val="00CE2923"/>
    <w:rsid w:val="00CF670B"/>
    <w:rsid w:val="00D02986"/>
    <w:rsid w:val="00D34D37"/>
    <w:rsid w:val="00DE5596"/>
    <w:rsid w:val="00EA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36DAF5"/>
  <w15:docId w15:val="{90662963-0C11-4F43-A2E9-DF34CF9F2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Tahoma" w:hAnsi="Liberation Serif" w:cs="Noto Sans Devanagari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  <w:rPr>
      <w:rFonts w:ascii="Segoe UI;Arial;sans-serif" w:eastAsia="Segoe UI;Arial;sans-serif" w:hAnsi="Segoe UI;Arial;sans-serif" w:cs="Segoe UI;Arial;sans-serif"/>
      <w:color w:val="000000"/>
    </w:rPr>
  </w:style>
  <w:style w:type="paragraph" w:styleId="Nadpis1">
    <w:name w:val="heading 1"/>
    <w:basedOn w:val="Heading"/>
    <w:next w:val="Zkladntext"/>
    <w:uiPriority w:val="9"/>
    <w:qFormat/>
    <w:pPr>
      <w:outlineLvl w:val="0"/>
    </w:pPr>
    <w:rPr>
      <w:rFonts w:ascii="Liberation Serif" w:hAnsi="Liberation Serif"/>
      <w:b/>
      <w:bCs/>
      <w:sz w:val="48"/>
      <w:szCs w:val="48"/>
    </w:rPr>
  </w:style>
  <w:style w:type="paragraph" w:styleId="Nadpis2">
    <w:name w:val="heading 2"/>
    <w:basedOn w:val="Heading"/>
    <w:next w:val="Zkladntext"/>
    <w:uiPriority w:val="9"/>
    <w:unhideWhenUsed/>
    <w:qFormat/>
    <w:pPr>
      <w:spacing w:before="200"/>
      <w:outlineLvl w:val="1"/>
    </w:pPr>
    <w:rPr>
      <w:rFonts w:ascii="Liberation Serif" w:hAnsi="Liberation Serif"/>
      <w:b/>
      <w:bCs/>
      <w:sz w:val="36"/>
      <w:szCs w:val="36"/>
    </w:rPr>
  </w:style>
  <w:style w:type="paragraph" w:styleId="Nadpis3">
    <w:name w:val="heading 3"/>
    <w:basedOn w:val="Heading"/>
    <w:next w:val="Zkladntext"/>
    <w:uiPriority w:val="9"/>
    <w:unhideWhenUsed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Pr>
      <w:b/>
      <w:bCs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Tahoma" w:hAnsi="Liberation Sans" w:cs="Noto Sans Devanagari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Noto Sans Devanagari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Normln"/>
    <w:qFormat/>
    <w:pPr>
      <w:suppressLineNumbers/>
    </w:pPr>
    <w:rPr>
      <w:rFonts w:cs="Noto Sans Devanagari"/>
    </w:rPr>
  </w:style>
  <w:style w:type="paragraph" w:customStyle="1" w:styleId="HorizontalLine">
    <w:name w:val="Horizontal Line"/>
    <w:basedOn w:val="Normln"/>
    <w:next w:val="Zkladntext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Zhlav">
    <w:name w:val="header"/>
    <w:basedOn w:val="Normln"/>
    <w:link w:val="ZhlavChar"/>
    <w:uiPriority w:val="99"/>
    <w:unhideWhenUsed/>
    <w:rsid w:val="0069341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693419"/>
    <w:rPr>
      <w:rFonts w:ascii="Segoe UI;Arial;sans-serif" w:eastAsia="Segoe UI;Arial;sans-serif" w:hAnsi="Segoe UI;Arial;sans-serif" w:cs="Mangal"/>
      <w:color w:val="000000"/>
      <w:szCs w:val="21"/>
    </w:rPr>
  </w:style>
  <w:style w:type="paragraph" w:styleId="Zpat">
    <w:name w:val="footer"/>
    <w:basedOn w:val="Normln"/>
    <w:link w:val="ZpatChar"/>
    <w:uiPriority w:val="99"/>
    <w:unhideWhenUsed/>
    <w:rsid w:val="0069341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693419"/>
    <w:rPr>
      <w:rFonts w:ascii="Segoe UI;Arial;sans-serif" w:eastAsia="Segoe UI;Arial;sans-serif" w:hAnsi="Segoe UI;Arial;sans-serif" w:cs="Mangal"/>
      <w:color w:val="000000"/>
      <w:szCs w:val="21"/>
    </w:rPr>
  </w:style>
  <w:style w:type="character" w:styleId="Hypertextovodkaz">
    <w:name w:val="Hyperlink"/>
    <w:basedOn w:val="Standardnpsmoodstavce"/>
    <w:uiPriority w:val="99"/>
    <w:unhideWhenUsed/>
    <w:rsid w:val="00204BAE"/>
    <w:rPr>
      <w:color w:val="0000EE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04B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xt.codexis.cz/doc/CR11919_2026_01_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xt.codexis.cz/doc/CR11200_2026_01_0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ext.codexis.cz/doc/CR11919_2026_01_0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929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PC</cp:lastModifiedBy>
  <cp:revision>11</cp:revision>
  <dcterms:created xsi:type="dcterms:W3CDTF">2026-06-12T07:43:00Z</dcterms:created>
  <dcterms:modified xsi:type="dcterms:W3CDTF">2026-09-16T08:59:00Z</dcterms:modified>
  <dc:language>cs-CZ</dc:language>
</cp:coreProperties>
</file>